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B60C84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6E4578">
              <w:rPr>
                <w:rFonts w:cstheme="minorHAnsi"/>
                <w:sz w:val="24"/>
                <w:szCs w:val="24"/>
              </w:rPr>
              <w:t>2021 Score Card</w:t>
            </w:r>
          </w:p>
          <w:p w:rsidR="00571917" w:rsidRPr="00571917" w:rsidRDefault="00571917" w:rsidP="00002961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002961">
              <w:rPr>
                <w:rFonts w:cstheme="minorHAnsi"/>
                <w:sz w:val="18"/>
                <w:szCs w:val="18"/>
              </w:rPr>
              <w:t>SSO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1)</w:t>
            </w:r>
          </w:p>
        </w:tc>
      </w:tr>
      <w:tr w:rsidR="00AF1A4A" w:rsidRPr="00D20372" w:rsidTr="00AF1A4A">
        <w:tc>
          <w:tcPr>
            <w:tcW w:w="926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AF1A4A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  <w:p w:rsidR="00794490" w:rsidRPr="006E4578" w:rsidRDefault="00794490" w:rsidP="00AF1A4A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16"/>
                <w:szCs w:val="18"/>
              </w:rPr>
              <w:t>See Screen 6D, 6E, and attachments in 7A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applicant an active CoC participant? (attends at minimum, 75% of CoC meetings</w:t>
            </w:r>
            <w:r>
              <w:rPr>
                <w:rFonts w:cstheme="minorHAnsi"/>
                <w:sz w:val="18"/>
                <w:szCs w:val="18"/>
              </w:rPr>
              <w:t xml:space="preserve"> – Lead Agency will provide info</w:t>
            </w:r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6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8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002961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0"/>
        <w:gridCol w:w="895"/>
      </w:tblGrid>
      <w:tr w:rsidR="00D92A96" w:rsidRPr="00D20372" w:rsidTr="00287FCB">
        <w:tc>
          <w:tcPr>
            <w:tcW w:w="10790" w:type="dxa"/>
            <w:gridSpan w:val="3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3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7FCB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>. In order to receive full points, the applicant must show the need and provide back-up on how they intend to impact the priorities selected. As a reminder, the CoC conducted an annual gaps analysis which can be used as additional support.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3B – Project Description)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Pr="00D20372" w:rsidRDefault="00002961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Partnering with housing, health, and service agencies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Racial equity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002961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A312A3" w:rsidRPr="00367FEC" w:rsidTr="00643297">
        <w:tc>
          <w:tcPr>
            <w:tcW w:w="989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312A3" w:rsidRPr="00367FEC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Pr="00367FEC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Bonus 10 Point Racial Equity: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312A3" w:rsidRP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A312A3">
              <w:rPr>
                <w:rFonts w:cstheme="minorHAnsi"/>
                <w:b/>
                <w:sz w:val="18"/>
                <w:szCs w:val="18"/>
                <w:highlight w:val="yellow"/>
              </w:rPr>
              <w:t>Bonus 10 Points Partnering with Housing, Health, and Service Agencies: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P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92A96" w:rsidRDefault="00D92A96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002961">
              <w:rPr>
                <w:rFonts w:cstheme="minorHAnsi"/>
                <w:i/>
                <w:sz w:val="16"/>
                <w:szCs w:val="18"/>
              </w:rPr>
              <w:t>There is a 2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 threshold, if the a</w:t>
            </w:r>
            <w:r w:rsidR="00002961">
              <w:rPr>
                <w:rFonts w:cstheme="minorHAnsi"/>
                <w:i/>
                <w:sz w:val="16"/>
                <w:szCs w:val="18"/>
              </w:rPr>
              <w:t>pplicant doesn’t fully address 2</w:t>
            </w:r>
            <w:r>
              <w:rPr>
                <w:rFonts w:cstheme="minorHAnsi"/>
                <w:i/>
                <w:sz w:val="16"/>
                <w:szCs w:val="18"/>
              </w:rPr>
              <w:t xml:space="preserve">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  <w:p w:rsidR="00D2475B" w:rsidRPr="00CA7B7F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Review FY19 submission and Recipient Performance Pg 22</w:t>
            </w:r>
            <w:r>
              <w:rPr>
                <w:rFonts w:cstheme="minorHAnsi"/>
                <w:i/>
                <w:sz w:val="18"/>
                <w:szCs w:val="18"/>
              </w:rPr>
              <w:t>, 4A Standards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applicant’s performance met the plans and goals established in the initial applica</w:t>
            </w:r>
            <w:r>
              <w:rPr>
                <w:rFonts w:cstheme="minorHAnsi"/>
                <w:sz w:val="18"/>
                <w:szCs w:val="18"/>
              </w:rPr>
              <w:t>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E14B5">
            <w:pPr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02961">
            <w:pPr>
              <w:tabs>
                <w:tab w:val="left" w:pos="121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 req</w:t>
            </w:r>
            <w:r>
              <w:rPr>
                <w:rFonts w:cstheme="minorHAnsi"/>
                <w:sz w:val="18"/>
                <w:szCs w:val="18"/>
              </w:rPr>
              <w:t>uired to meet this standard.</w:t>
            </w:r>
            <w:bookmarkStart w:id="0" w:name="_GoBack"/>
            <w:bookmarkEnd w:id="0"/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55561">
              <w:rPr>
                <w:rFonts w:asciiTheme="minorHAnsi" w:hAnsiTheme="minorHAnsi" w:cstheme="minorHAnsi"/>
                <w:sz w:val="18"/>
                <w:szCs w:val="18"/>
              </w:rPr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2475B">
              <w:rPr>
                <w:rFonts w:cstheme="minorHAnsi"/>
                <w:i/>
                <w:sz w:val="18"/>
                <w:szCs w:val="18"/>
              </w:rPr>
              <w:t>See Recipient Performance Pg22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See Budget Screens – Screens 6A-E</w:t>
            </w:r>
            <w:r>
              <w:rPr>
                <w:rFonts w:cstheme="minorHAnsi"/>
                <w:i/>
                <w:sz w:val="18"/>
                <w:szCs w:val="18"/>
              </w:rPr>
              <w:t>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Recipient Performance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794490">
              <w:rPr>
                <w:rFonts w:cstheme="minorHAnsi"/>
                <w:i/>
                <w:sz w:val="18"/>
                <w:szCs w:val="18"/>
              </w:rPr>
              <w:t>Pg 22</w:t>
            </w:r>
            <w:r>
              <w:rPr>
                <w:rFonts w:cstheme="minorHAnsi"/>
                <w:i/>
                <w:sz w:val="18"/>
                <w:szCs w:val="18"/>
              </w:rPr>
              <w:t>),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and 7A attachments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Recent audit identified agency as ‘low risk’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Recent audit indicates no findings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</w:tbl>
    <w:p w:rsidR="00D2475B" w:rsidRDefault="00D2475B" w:rsidP="00B60C84">
      <w:pPr>
        <w:spacing w:after="40" w:line="240" w:lineRule="auto"/>
        <w:rPr>
          <w:b/>
        </w:rPr>
      </w:pPr>
    </w:p>
    <w:p w:rsidR="003A461B" w:rsidRDefault="003A461B" w:rsidP="00B60C84">
      <w:pPr>
        <w:spacing w:after="40" w:line="240" w:lineRule="auto"/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002961" w:rsidRDefault="00002961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lastRenderedPageBreak/>
        <w:t>Renewal Project Supplemental Questions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Equity Factors - Agency Leadership,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C77EE4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 Provide attachment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etc) in managerial and leadership positions.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Project’s organizational board of directors includes representation from more than one person with lived experience (per 578.75g)).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500EC4" w:rsidRPr="00500EC4">
              <w:rPr>
                <w:b/>
              </w:rPr>
              <w:t>280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>
              <w:rPr>
                <w:b/>
              </w:rPr>
              <w:t>27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02961"/>
    <w:rsid w:val="0004551F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725F"/>
    <w:rsid w:val="00287FCB"/>
    <w:rsid w:val="002A2B2E"/>
    <w:rsid w:val="00337C3E"/>
    <w:rsid w:val="00351931"/>
    <w:rsid w:val="00362C4D"/>
    <w:rsid w:val="0037799B"/>
    <w:rsid w:val="003A461B"/>
    <w:rsid w:val="003F5E1D"/>
    <w:rsid w:val="004006A5"/>
    <w:rsid w:val="00414BA7"/>
    <w:rsid w:val="00426C4B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D6A86"/>
    <w:rsid w:val="005E3E4A"/>
    <w:rsid w:val="005F494F"/>
    <w:rsid w:val="00621AF5"/>
    <w:rsid w:val="00656910"/>
    <w:rsid w:val="00684A4D"/>
    <w:rsid w:val="006E4578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E33D3"/>
    <w:rsid w:val="00813DDD"/>
    <w:rsid w:val="008812F1"/>
    <w:rsid w:val="00885643"/>
    <w:rsid w:val="0089403D"/>
    <w:rsid w:val="008A5902"/>
    <w:rsid w:val="008B5998"/>
    <w:rsid w:val="00927FC9"/>
    <w:rsid w:val="00943FBE"/>
    <w:rsid w:val="009D6590"/>
    <w:rsid w:val="00A00A18"/>
    <w:rsid w:val="00A07849"/>
    <w:rsid w:val="00A312A3"/>
    <w:rsid w:val="00AC35D7"/>
    <w:rsid w:val="00AF1A4A"/>
    <w:rsid w:val="00B34F93"/>
    <w:rsid w:val="00B60C84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20372"/>
    <w:rsid w:val="00D2475B"/>
    <w:rsid w:val="00D46C11"/>
    <w:rsid w:val="00D92A96"/>
    <w:rsid w:val="00DA20E7"/>
    <w:rsid w:val="00E85E4A"/>
    <w:rsid w:val="00EC3C8F"/>
    <w:rsid w:val="00F05AFB"/>
    <w:rsid w:val="00F16AA9"/>
    <w:rsid w:val="00F26F0E"/>
    <w:rsid w:val="00F94EE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28CF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4BB5-0C7D-489B-9365-6926BA0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Brittany Coronado</cp:lastModifiedBy>
  <cp:revision>3</cp:revision>
  <cp:lastPrinted>2021-09-16T22:32:00Z</cp:lastPrinted>
  <dcterms:created xsi:type="dcterms:W3CDTF">2021-09-17T20:55:00Z</dcterms:created>
  <dcterms:modified xsi:type="dcterms:W3CDTF">2021-09-17T20:58:00Z</dcterms:modified>
</cp:coreProperties>
</file>