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6045" w14:textId="2E4730A0" w:rsidR="009F5236" w:rsidRPr="00357AEC" w:rsidRDefault="009F5236">
      <w:pPr>
        <w:rPr>
          <w:b/>
        </w:rPr>
      </w:pPr>
      <w:r w:rsidRPr="00357AEC">
        <w:rPr>
          <w:b/>
        </w:rPr>
        <w:t>2021 HUD NOFO Funding Recommendations</w:t>
      </w:r>
      <w:r w:rsidR="009F2A4C">
        <w:rPr>
          <w:b/>
        </w:rPr>
        <w:br/>
      </w:r>
      <w:r w:rsidRPr="00357AEC">
        <w:rPr>
          <w:b/>
        </w:rPr>
        <w:t>Breakdown by Points Awarded by Score</w:t>
      </w:r>
      <w:r w:rsidR="00245FA7">
        <w:rPr>
          <w:b/>
        </w:rPr>
        <w:t xml:space="preserve"> Collectively  by Committee</w:t>
      </w:r>
    </w:p>
    <w:tbl>
      <w:tblPr>
        <w:tblStyle w:val="TableGrid"/>
        <w:tblW w:w="0" w:type="auto"/>
        <w:tblLook w:val="04A0" w:firstRow="1" w:lastRow="0" w:firstColumn="1" w:lastColumn="0" w:noHBand="0" w:noVBand="1"/>
      </w:tblPr>
      <w:tblGrid>
        <w:gridCol w:w="1705"/>
        <w:gridCol w:w="2493"/>
        <w:gridCol w:w="1229"/>
        <w:gridCol w:w="1431"/>
        <w:gridCol w:w="1583"/>
        <w:gridCol w:w="909"/>
      </w:tblGrid>
      <w:tr w:rsidR="00036D3B" w14:paraId="5CC4FA56" w14:textId="77777777" w:rsidTr="00036D3B">
        <w:tc>
          <w:tcPr>
            <w:tcW w:w="1705" w:type="dxa"/>
            <w:shd w:val="clear" w:color="auto" w:fill="A6A6A6" w:themeFill="background1" w:themeFillShade="A6"/>
          </w:tcPr>
          <w:p w14:paraId="729B36E4" w14:textId="77777777" w:rsidR="00036D3B" w:rsidRDefault="00036D3B">
            <w:r>
              <w:t>Agency</w:t>
            </w:r>
          </w:p>
        </w:tc>
        <w:tc>
          <w:tcPr>
            <w:tcW w:w="2493" w:type="dxa"/>
            <w:shd w:val="clear" w:color="auto" w:fill="A6A6A6" w:themeFill="background1" w:themeFillShade="A6"/>
          </w:tcPr>
          <w:p w14:paraId="4795C489" w14:textId="77777777" w:rsidR="00036D3B" w:rsidRDefault="00036D3B">
            <w:r>
              <w:t>Project</w:t>
            </w:r>
          </w:p>
        </w:tc>
        <w:tc>
          <w:tcPr>
            <w:tcW w:w="1229" w:type="dxa"/>
            <w:shd w:val="clear" w:color="auto" w:fill="A6A6A6" w:themeFill="background1" w:themeFillShade="A6"/>
          </w:tcPr>
          <w:p w14:paraId="57A19169" w14:textId="77777777" w:rsidR="00036D3B" w:rsidRDefault="00036D3B">
            <w:r>
              <w:t>Amount Requested</w:t>
            </w:r>
          </w:p>
        </w:tc>
        <w:tc>
          <w:tcPr>
            <w:tcW w:w="1431" w:type="dxa"/>
            <w:shd w:val="clear" w:color="auto" w:fill="A6A6A6" w:themeFill="background1" w:themeFillShade="A6"/>
          </w:tcPr>
          <w:p w14:paraId="6C545A95" w14:textId="77777777" w:rsidR="00036D3B" w:rsidRDefault="00036D3B">
            <w:r>
              <w:t>Possible Points</w:t>
            </w:r>
          </w:p>
        </w:tc>
        <w:tc>
          <w:tcPr>
            <w:tcW w:w="1583" w:type="dxa"/>
            <w:shd w:val="clear" w:color="auto" w:fill="A6A6A6" w:themeFill="background1" w:themeFillShade="A6"/>
          </w:tcPr>
          <w:p w14:paraId="7B24067A" w14:textId="77777777" w:rsidR="00036D3B" w:rsidRDefault="00036D3B">
            <w:r>
              <w:t>Points Awarded</w:t>
            </w:r>
          </w:p>
        </w:tc>
        <w:tc>
          <w:tcPr>
            <w:tcW w:w="909" w:type="dxa"/>
            <w:shd w:val="clear" w:color="auto" w:fill="A6A6A6" w:themeFill="background1" w:themeFillShade="A6"/>
          </w:tcPr>
          <w:p w14:paraId="30197C5E" w14:textId="77777777" w:rsidR="00036D3B" w:rsidRDefault="00036D3B">
            <w:r>
              <w:t>% Score</w:t>
            </w:r>
          </w:p>
        </w:tc>
      </w:tr>
      <w:tr w:rsidR="00036D3B" w14:paraId="50030FDA" w14:textId="77777777" w:rsidTr="001605CA">
        <w:tc>
          <w:tcPr>
            <w:tcW w:w="1705" w:type="dxa"/>
          </w:tcPr>
          <w:p w14:paraId="0BC4AD6E" w14:textId="77777777" w:rsidR="00036D3B" w:rsidRDefault="00036D3B">
            <w:r>
              <w:t>Flagler Hospital</w:t>
            </w:r>
          </w:p>
        </w:tc>
        <w:tc>
          <w:tcPr>
            <w:tcW w:w="2493" w:type="dxa"/>
          </w:tcPr>
          <w:p w14:paraId="133E15ED" w14:textId="77777777" w:rsidR="00036D3B" w:rsidRDefault="00036D3B">
            <w:r>
              <w:t>HMIS Renewal</w:t>
            </w:r>
          </w:p>
        </w:tc>
        <w:tc>
          <w:tcPr>
            <w:tcW w:w="1229" w:type="dxa"/>
          </w:tcPr>
          <w:p w14:paraId="4FDBEB14" w14:textId="77777777" w:rsidR="00036D3B" w:rsidRPr="001605CA" w:rsidRDefault="00036D3B">
            <w:r w:rsidRPr="001605CA">
              <w:t>$85,362</w:t>
            </w:r>
          </w:p>
        </w:tc>
        <w:tc>
          <w:tcPr>
            <w:tcW w:w="1431" w:type="dxa"/>
            <w:shd w:val="clear" w:color="auto" w:fill="auto"/>
          </w:tcPr>
          <w:p w14:paraId="42D65121" w14:textId="77777777" w:rsidR="001605CA" w:rsidRPr="001605CA" w:rsidRDefault="00FE74AE">
            <w:r>
              <w:t>307</w:t>
            </w:r>
          </w:p>
        </w:tc>
        <w:tc>
          <w:tcPr>
            <w:tcW w:w="1583" w:type="dxa"/>
          </w:tcPr>
          <w:p w14:paraId="32F34A49" w14:textId="2B2D4671" w:rsidR="00036D3B" w:rsidRDefault="00432E09">
            <w:r>
              <w:t>285.5</w:t>
            </w:r>
          </w:p>
        </w:tc>
        <w:tc>
          <w:tcPr>
            <w:tcW w:w="909" w:type="dxa"/>
          </w:tcPr>
          <w:p w14:paraId="3A75B08E" w14:textId="31FDBE27" w:rsidR="00036D3B" w:rsidRDefault="00432E09">
            <w:r>
              <w:t>93%</w:t>
            </w:r>
          </w:p>
        </w:tc>
      </w:tr>
      <w:tr w:rsidR="00036D3B" w14:paraId="14DB1773" w14:textId="77777777" w:rsidTr="001605CA">
        <w:tc>
          <w:tcPr>
            <w:tcW w:w="1705" w:type="dxa"/>
          </w:tcPr>
          <w:p w14:paraId="2083F6FD" w14:textId="77777777" w:rsidR="00036D3B" w:rsidRDefault="00036D3B">
            <w:r>
              <w:t>Flagler Hospital</w:t>
            </w:r>
          </w:p>
        </w:tc>
        <w:tc>
          <w:tcPr>
            <w:tcW w:w="2493" w:type="dxa"/>
          </w:tcPr>
          <w:p w14:paraId="01A704C2" w14:textId="77777777" w:rsidR="00036D3B" w:rsidRDefault="00036D3B">
            <w:r>
              <w:t>Housing Navigator Renewal</w:t>
            </w:r>
          </w:p>
        </w:tc>
        <w:tc>
          <w:tcPr>
            <w:tcW w:w="1229" w:type="dxa"/>
          </w:tcPr>
          <w:p w14:paraId="7F6E2678" w14:textId="77777777" w:rsidR="00036D3B" w:rsidRDefault="00036D3B">
            <w:r>
              <w:t>$33,279</w:t>
            </w:r>
          </w:p>
        </w:tc>
        <w:tc>
          <w:tcPr>
            <w:tcW w:w="1431" w:type="dxa"/>
            <w:shd w:val="clear" w:color="auto" w:fill="auto"/>
          </w:tcPr>
          <w:p w14:paraId="3FC6B8F0" w14:textId="77777777" w:rsidR="00036D3B" w:rsidRPr="001605CA" w:rsidRDefault="00FE74AE">
            <w:r>
              <w:t>307</w:t>
            </w:r>
          </w:p>
          <w:p w14:paraId="45B1B16B" w14:textId="77777777" w:rsidR="001605CA" w:rsidRPr="00F43725" w:rsidRDefault="001605CA">
            <w:pPr>
              <w:rPr>
                <w:highlight w:val="green"/>
              </w:rPr>
            </w:pPr>
          </w:p>
        </w:tc>
        <w:tc>
          <w:tcPr>
            <w:tcW w:w="1583" w:type="dxa"/>
          </w:tcPr>
          <w:p w14:paraId="53DC0D7E" w14:textId="77777777" w:rsidR="00036D3B" w:rsidRDefault="00432E09">
            <w:r>
              <w:t>278</w:t>
            </w:r>
          </w:p>
          <w:p w14:paraId="4CF034BB" w14:textId="27F096F5" w:rsidR="00432E09" w:rsidRDefault="00432E09"/>
        </w:tc>
        <w:tc>
          <w:tcPr>
            <w:tcW w:w="909" w:type="dxa"/>
          </w:tcPr>
          <w:p w14:paraId="3623C220" w14:textId="05BCA22C" w:rsidR="00036D3B" w:rsidRDefault="00432E09">
            <w:r>
              <w:t>91%</w:t>
            </w:r>
          </w:p>
        </w:tc>
      </w:tr>
      <w:tr w:rsidR="00036D3B" w14:paraId="1992348C" w14:textId="77777777" w:rsidTr="00036D3B">
        <w:tc>
          <w:tcPr>
            <w:tcW w:w="1705" w:type="dxa"/>
          </w:tcPr>
          <w:p w14:paraId="341F57BE" w14:textId="77777777" w:rsidR="00036D3B" w:rsidRDefault="00036D3B">
            <w:r>
              <w:t>Flagler Hospital</w:t>
            </w:r>
          </w:p>
        </w:tc>
        <w:tc>
          <w:tcPr>
            <w:tcW w:w="2493" w:type="dxa"/>
          </w:tcPr>
          <w:p w14:paraId="3175DA02" w14:textId="77777777" w:rsidR="00036D3B" w:rsidRDefault="00036D3B">
            <w:r>
              <w:t>CoC Bonus – Coordinated Entry</w:t>
            </w:r>
          </w:p>
        </w:tc>
        <w:tc>
          <w:tcPr>
            <w:tcW w:w="1229" w:type="dxa"/>
          </w:tcPr>
          <w:p w14:paraId="11394B3B" w14:textId="77777777" w:rsidR="00036D3B" w:rsidRDefault="00036D3B">
            <w:r>
              <w:t>$15,773</w:t>
            </w:r>
          </w:p>
        </w:tc>
        <w:tc>
          <w:tcPr>
            <w:tcW w:w="1431" w:type="dxa"/>
          </w:tcPr>
          <w:p w14:paraId="5E07DB5E" w14:textId="77777777" w:rsidR="00036D3B" w:rsidRDefault="00FE74AE">
            <w:r>
              <w:t>307</w:t>
            </w:r>
          </w:p>
        </w:tc>
        <w:tc>
          <w:tcPr>
            <w:tcW w:w="1583" w:type="dxa"/>
          </w:tcPr>
          <w:p w14:paraId="6E77832E" w14:textId="5722788F" w:rsidR="00036D3B" w:rsidRDefault="00432E09">
            <w:r>
              <w:t>291</w:t>
            </w:r>
          </w:p>
        </w:tc>
        <w:tc>
          <w:tcPr>
            <w:tcW w:w="909" w:type="dxa"/>
          </w:tcPr>
          <w:p w14:paraId="79F07A56" w14:textId="0F7BDD7B" w:rsidR="00036D3B" w:rsidRDefault="00432E09">
            <w:r>
              <w:t>95%</w:t>
            </w:r>
          </w:p>
        </w:tc>
      </w:tr>
      <w:tr w:rsidR="00036D3B" w14:paraId="02C562D7" w14:textId="77777777" w:rsidTr="00036D3B">
        <w:tc>
          <w:tcPr>
            <w:tcW w:w="1705" w:type="dxa"/>
          </w:tcPr>
          <w:p w14:paraId="18F6A9B7" w14:textId="77777777" w:rsidR="00036D3B" w:rsidRDefault="00036D3B">
            <w:r>
              <w:t>Flagler Hospital</w:t>
            </w:r>
          </w:p>
        </w:tc>
        <w:tc>
          <w:tcPr>
            <w:tcW w:w="2493" w:type="dxa"/>
          </w:tcPr>
          <w:p w14:paraId="49D99690" w14:textId="77777777" w:rsidR="00036D3B" w:rsidRDefault="00036D3B">
            <w:r>
              <w:t>DV Bonus – Coordinated Entry</w:t>
            </w:r>
          </w:p>
        </w:tc>
        <w:tc>
          <w:tcPr>
            <w:tcW w:w="1229" w:type="dxa"/>
          </w:tcPr>
          <w:p w14:paraId="3B71FE49" w14:textId="77777777" w:rsidR="00036D3B" w:rsidRDefault="00036D3B">
            <w:r>
              <w:t>$50,000</w:t>
            </w:r>
          </w:p>
        </w:tc>
        <w:tc>
          <w:tcPr>
            <w:tcW w:w="1431" w:type="dxa"/>
          </w:tcPr>
          <w:p w14:paraId="1F35068C" w14:textId="77777777" w:rsidR="00036D3B" w:rsidRDefault="00FE74AE">
            <w:r>
              <w:t>307</w:t>
            </w:r>
          </w:p>
        </w:tc>
        <w:tc>
          <w:tcPr>
            <w:tcW w:w="1583" w:type="dxa"/>
          </w:tcPr>
          <w:p w14:paraId="5048DC09" w14:textId="393EC11B" w:rsidR="00036D3B" w:rsidRDefault="00C00803">
            <w:r>
              <w:t>294.3</w:t>
            </w:r>
            <w:bookmarkStart w:id="0" w:name="_GoBack"/>
            <w:bookmarkEnd w:id="0"/>
          </w:p>
        </w:tc>
        <w:tc>
          <w:tcPr>
            <w:tcW w:w="909" w:type="dxa"/>
          </w:tcPr>
          <w:p w14:paraId="162E216F" w14:textId="611AA86E" w:rsidR="00036D3B" w:rsidRDefault="00432E09">
            <w:r>
              <w:t>96%</w:t>
            </w:r>
          </w:p>
        </w:tc>
      </w:tr>
    </w:tbl>
    <w:p w14:paraId="696D7877" w14:textId="77777777" w:rsidR="009F5236" w:rsidRDefault="009F5236"/>
    <w:tbl>
      <w:tblPr>
        <w:tblStyle w:val="TableGrid1"/>
        <w:tblW w:w="9265" w:type="dxa"/>
        <w:tblLook w:val="04A0" w:firstRow="1" w:lastRow="0" w:firstColumn="1" w:lastColumn="0" w:noHBand="0" w:noVBand="1"/>
      </w:tblPr>
      <w:tblGrid>
        <w:gridCol w:w="3505"/>
        <w:gridCol w:w="1980"/>
        <w:gridCol w:w="1890"/>
        <w:gridCol w:w="1890"/>
      </w:tblGrid>
      <w:tr w:rsidR="009F2A4C" w:rsidRPr="00F50C65" w14:paraId="7CBC7D91" w14:textId="77777777" w:rsidTr="007C4317">
        <w:trPr>
          <w:trHeight w:val="278"/>
        </w:trPr>
        <w:tc>
          <w:tcPr>
            <w:tcW w:w="3505" w:type="dxa"/>
            <w:shd w:val="clear" w:color="auto" w:fill="31849B"/>
          </w:tcPr>
          <w:p w14:paraId="27B36D70"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Annual Renewal Demand (ARD)</w:t>
            </w:r>
          </w:p>
        </w:tc>
        <w:tc>
          <w:tcPr>
            <w:tcW w:w="1980" w:type="dxa"/>
            <w:shd w:val="clear" w:color="auto" w:fill="31849B"/>
          </w:tcPr>
          <w:p w14:paraId="297A2400"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Bonus</w:t>
            </w:r>
          </w:p>
        </w:tc>
        <w:tc>
          <w:tcPr>
            <w:tcW w:w="1890" w:type="dxa"/>
            <w:shd w:val="clear" w:color="auto" w:fill="31849B"/>
          </w:tcPr>
          <w:p w14:paraId="4DC3E453"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DV Bonus</w:t>
            </w:r>
          </w:p>
        </w:tc>
        <w:tc>
          <w:tcPr>
            <w:tcW w:w="1890" w:type="dxa"/>
            <w:shd w:val="clear" w:color="auto" w:fill="31849B"/>
          </w:tcPr>
          <w:p w14:paraId="6F1B1333"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CoC Planning</w:t>
            </w:r>
          </w:p>
        </w:tc>
      </w:tr>
      <w:tr w:rsidR="009F2A4C" w:rsidRPr="00F50C65" w14:paraId="5FB4FE90" w14:textId="77777777" w:rsidTr="007C4317">
        <w:trPr>
          <w:trHeight w:val="273"/>
        </w:trPr>
        <w:tc>
          <w:tcPr>
            <w:tcW w:w="3505" w:type="dxa"/>
          </w:tcPr>
          <w:p w14:paraId="662A0F32" w14:textId="77777777" w:rsidR="009F2A4C" w:rsidRPr="00F50C65" w:rsidRDefault="009F2A4C" w:rsidP="007C4317">
            <w:pPr>
              <w:rPr>
                <w:rFonts w:ascii="Calibri" w:eastAsia="Calibri" w:hAnsi="Calibri" w:cs="Times New Roman"/>
              </w:rPr>
            </w:pPr>
            <w:r>
              <w:rPr>
                <w:rFonts w:ascii="Calibri" w:eastAsia="Calibri" w:hAnsi="Calibri" w:cs="Times New Roman"/>
              </w:rPr>
              <w:t>$118,641</w:t>
            </w:r>
          </w:p>
        </w:tc>
        <w:tc>
          <w:tcPr>
            <w:tcW w:w="1980" w:type="dxa"/>
          </w:tcPr>
          <w:p w14:paraId="7695E42D" w14:textId="77777777" w:rsidR="009F2A4C" w:rsidRPr="00F50C65" w:rsidRDefault="009F2A4C" w:rsidP="007C4317">
            <w:pPr>
              <w:rPr>
                <w:rFonts w:ascii="Calibri" w:eastAsia="Calibri" w:hAnsi="Calibri" w:cs="Times New Roman"/>
              </w:rPr>
            </w:pPr>
            <w:r w:rsidRPr="00F50C65">
              <w:rPr>
                <w:rFonts w:ascii="Calibri" w:eastAsia="Calibri" w:hAnsi="Calibri" w:cs="Times New Roman"/>
              </w:rPr>
              <w:t>$15,773</w:t>
            </w:r>
          </w:p>
        </w:tc>
        <w:tc>
          <w:tcPr>
            <w:tcW w:w="1890" w:type="dxa"/>
          </w:tcPr>
          <w:p w14:paraId="6F5F8B94" w14:textId="77777777" w:rsidR="009F2A4C" w:rsidRPr="00F50C65" w:rsidRDefault="009F2A4C" w:rsidP="007C4317">
            <w:pPr>
              <w:rPr>
                <w:rFonts w:ascii="Calibri" w:eastAsia="Calibri" w:hAnsi="Calibri" w:cs="Times New Roman"/>
              </w:rPr>
            </w:pPr>
            <w:r w:rsidRPr="00F50C65">
              <w:rPr>
                <w:rFonts w:ascii="Calibri" w:eastAsia="Calibri" w:hAnsi="Calibri" w:cs="Times New Roman"/>
              </w:rPr>
              <w:t>$50,000</w:t>
            </w:r>
          </w:p>
        </w:tc>
        <w:tc>
          <w:tcPr>
            <w:tcW w:w="1890" w:type="dxa"/>
          </w:tcPr>
          <w:p w14:paraId="3F7AA912" w14:textId="77777777" w:rsidR="009F2A4C" w:rsidRPr="00F50C65" w:rsidRDefault="009F2A4C" w:rsidP="007C4317">
            <w:pPr>
              <w:rPr>
                <w:rFonts w:ascii="Calibri" w:eastAsia="Calibri" w:hAnsi="Calibri" w:cs="Times New Roman"/>
              </w:rPr>
            </w:pPr>
            <w:r w:rsidRPr="00F50C65">
              <w:rPr>
                <w:rFonts w:ascii="Calibri" w:eastAsia="Calibri" w:hAnsi="Calibri" w:cs="Times New Roman"/>
              </w:rPr>
              <w:t>$9,464</w:t>
            </w:r>
          </w:p>
        </w:tc>
      </w:tr>
    </w:tbl>
    <w:p w14:paraId="3D96D126" w14:textId="77777777" w:rsidR="009F2A4C" w:rsidRDefault="009F2A4C" w:rsidP="009F2A4C"/>
    <w:tbl>
      <w:tblPr>
        <w:tblStyle w:val="TableGrid1"/>
        <w:tblW w:w="4045" w:type="dxa"/>
        <w:tblLook w:val="04A0" w:firstRow="1" w:lastRow="0" w:firstColumn="1" w:lastColumn="0" w:noHBand="0" w:noVBand="1"/>
      </w:tblPr>
      <w:tblGrid>
        <w:gridCol w:w="2025"/>
        <w:gridCol w:w="2020"/>
      </w:tblGrid>
      <w:tr w:rsidR="009F2A4C" w:rsidRPr="00F50C65" w14:paraId="135F76D6" w14:textId="77777777" w:rsidTr="009F2A4C">
        <w:trPr>
          <w:trHeight w:val="269"/>
        </w:trPr>
        <w:tc>
          <w:tcPr>
            <w:tcW w:w="2025" w:type="dxa"/>
            <w:shd w:val="clear" w:color="auto" w:fill="31849B"/>
          </w:tcPr>
          <w:p w14:paraId="5DE27BCA" w14:textId="77777777" w:rsidR="009F2A4C" w:rsidRPr="00F50C65" w:rsidRDefault="009F2A4C" w:rsidP="007C4317">
            <w:pPr>
              <w:rPr>
                <w:rFonts w:ascii="Calibri" w:eastAsia="Calibri" w:hAnsi="Calibri" w:cs="Times New Roman"/>
                <w:b/>
                <w:color w:val="FFFFFF"/>
              </w:rPr>
            </w:pPr>
            <w:r w:rsidRPr="00F50C65">
              <w:rPr>
                <w:rFonts w:ascii="Calibri" w:eastAsia="Calibri" w:hAnsi="Calibri" w:cs="Times New Roman"/>
                <w:b/>
                <w:color w:val="FFFFFF"/>
              </w:rPr>
              <w:t>Tier 1</w:t>
            </w:r>
          </w:p>
        </w:tc>
        <w:tc>
          <w:tcPr>
            <w:tcW w:w="2020" w:type="dxa"/>
            <w:shd w:val="clear" w:color="auto" w:fill="31849B"/>
          </w:tcPr>
          <w:p w14:paraId="54B3DE2E" w14:textId="77777777" w:rsidR="009F2A4C" w:rsidRPr="00F50C65" w:rsidRDefault="009F2A4C" w:rsidP="007C4317">
            <w:pPr>
              <w:rPr>
                <w:rFonts w:ascii="Calibri" w:eastAsia="Calibri" w:hAnsi="Calibri" w:cs="Times New Roman"/>
                <w:b/>
                <w:color w:val="FFFFFF"/>
              </w:rPr>
            </w:pPr>
            <w:r>
              <w:rPr>
                <w:rFonts w:ascii="Calibri" w:eastAsia="Calibri" w:hAnsi="Calibri" w:cs="Times New Roman"/>
                <w:b/>
                <w:color w:val="FFFFFF"/>
              </w:rPr>
              <w:t>Tier 2</w:t>
            </w:r>
          </w:p>
        </w:tc>
      </w:tr>
      <w:tr w:rsidR="009F2A4C" w:rsidRPr="00F50C65" w14:paraId="5E8BCBD4" w14:textId="77777777" w:rsidTr="009F2A4C">
        <w:trPr>
          <w:trHeight w:val="264"/>
        </w:trPr>
        <w:tc>
          <w:tcPr>
            <w:tcW w:w="2025" w:type="dxa"/>
          </w:tcPr>
          <w:p w14:paraId="505EA757" w14:textId="77777777" w:rsidR="009F2A4C" w:rsidRPr="00F50C65" w:rsidRDefault="009F2A4C" w:rsidP="007C4317">
            <w:pPr>
              <w:rPr>
                <w:rFonts w:ascii="Calibri" w:eastAsia="Calibri" w:hAnsi="Calibri" w:cs="Times New Roman"/>
              </w:rPr>
            </w:pPr>
            <w:r w:rsidRPr="00F50C65">
              <w:rPr>
                <w:rFonts w:ascii="Calibri" w:eastAsia="Calibri" w:hAnsi="Calibri" w:cs="Times New Roman"/>
              </w:rPr>
              <w:t>$118,641</w:t>
            </w:r>
          </w:p>
        </w:tc>
        <w:tc>
          <w:tcPr>
            <w:tcW w:w="2020" w:type="dxa"/>
          </w:tcPr>
          <w:p w14:paraId="5A4685E7" w14:textId="77777777" w:rsidR="009F2A4C" w:rsidRPr="00F50C65" w:rsidRDefault="009F2A4C" w:rsidP="007C4317">
            <w:pPr>
              <w:rPr>
                <w:rFonts w:ascii="Calibri" w:eastAsia="Calibri" w:hAnsi="Calibri" w:cs="Times New Roman"/>
              </w:rPr>
            </w:pPr>
            <w:r>
              <w:rPr>
                <w:rFonts w:ascii="Calibri" w:eastAsia="Calibri" w:hAnsi="Calibri" w:cs="Times New Roman"/>
              </w:rPr>
              <w:t>$65,773</w:t>
            </w:r>
          </w:p>
        </w:tc>
      </w:tr>
    </w:tbl>
    <w:p w14:paraId="341766D9" w14:textId="77777777" w:rsidR="009F2A4C" w:rsidRDefault="009F2A4C">
      <w:pPr>
        <w:rPr>
          <w:b/>
        </w:rPr>
      </w:pPr>
    </w:p>
    <w:p w14:paraId="00D15CB7" w14:textId="77777777" w:rsidR="009F2A4C" w:rsidRPr="00357AEC" w:rsidRDefault="009F2A4C">
      <w:pPr>
        <w:rPr>
          <w:b/>
        </w:rPr>
      </w:pPr>
      <w:r>
        <w:rPr>
          <w:b/>
        </w:rPr>
        <w:t>Tier 1 and Tier 2</w:t>
      </w:r>
    </w:p>
    <w:p w14:paraId="7ADE8FB3" w14:textId="77777777" w:rsidR="009F5236" w:rsidRDefault="009F5236" w:rsidP="009F5236">
      <w:pPr>
        <w:rPr>
          <w:sz w:val="23"/>
          <w:szCs w:val="23"/>
        </w:rPr>
      </w:pPr>
      <w:r w:rsidRPr="009F5236">
        <w:t>Higher ranked projects will be assigned to Tier 1 and lower ranked projects will be assigned to Tier 2</w:t>
      </w:r>
      <w:r>
        <w:t>.</w:t>
      </w:r>
      <w:r w:rsidRPr="009F5236">
        <w:rPr>
          <w:sz w:val="23"/>
          <w:szCs w:val="23"/>
        </w:rPr>
        <w:t xml:space="preserve">  The purpose of this two-tiered approach is for CoCs to notify HUD which projects are prioritized for funding based on local needs and gaps.</w:t>
      </w:r>
    </w:p>
    <w:p w14:paraId="473BC136" w14:textId="77777777" w:rsidR="007462AF" w:rsidRPr="009F5236" w:rsidRDefault="007462AF" w:rsidP="009F5236">
      <w:pPr>
        <w:rPr>
          <w:sz w:val="23"/>
          <w:szCs w:val="23"/>
        </w:rPr>
      </w:pPr>
      <w:r w:rsidRPr="007462AF">
        <w:rPr>
          <w:sz w:val="23"/>
          <w:szCs w:val="23"/>
        </w:rPr>
        <w:t>Because HMIS is required for the CoC and must be funded, HMIS grants will receive the maximum score and be ranked as number one.</w:t>
      </w:r>
      <w:r>
        <w:rPr>
          <w:sz w:val="23"/>
          <w:szCs w:val="23"/>
        </w:rPr>
        <w:t xml:space="preserve"> (see CoC </w:t>
      </w:r>
      <w:r w:rsidRPr="007462AF">
        <w:rPr>
          <w:sz w:val="23"/>
          <w:szCs w:val="23"/>
        </w:rPr>
        <w:t>Scoring, Rating and Review Procedures</w:t>
      </w:r>
      <w:r>
        <w:rPr>
          <w:sz w:val="23"/>
          <w:szCs w:val="23"/>
        </w:rPr>
        <w:t>)</w:t>
      </w:r>
    </w:p>
    <w:p w14:paraId="5A700B4F" w14:textId="77777777" w:rsidR="009F5236" w:rsidRPr="009F5236" w:rsidRDefault="009F5236" w:rsidP="009F5236">
      <w:pPr>
        <w:ind w:left="360"/>
        <w:rPr>
          <w:sz w:val="23"/>
          <w:szCs w:val="23"/>
          <w:u w:val="single"/>
        </w:rPr>
      </w:pPr>
      <w:r w:rsidRPr="009F5236">
        <w:rPr>
          <w:sz w:val="23"/>
          <w:szCs w:val="23"/>
          <w:u w:val="single"/>
        </w:rPr>
        <w:t>Tier 1</w:t>
      </w:r>
    </w:p>
    <w:p w14:paraId="176EB59C" w14:textId="77777777" w:rsidR="009F5236" w:rsidRDefault="009F5236" w:rsidP="009F5236">
      <w:pPr>
        <w:pStyle w:val="ListParagraph"/>
        <w:numPr>
          <w:ilvl w:val="0"/>
          <w:numId w:val="1"/>
        </w:numPr>
      </w:pPr>
      <w:r w:rsidRPr="009F5236">
        <w:t>Tier 1 is equal to 100 percent of the CoC’s Annual Renewal Demand (ARD)</w:t>
      </w:r>
      <w:r>
        <w:t>.</w:t>
      </w:r>
    </w:p>
    <w:p w14:paraId="0D39E855" w14:textId="77777777" w:rsidR="009F5236" w:rsidRDefault="009F5236" w:rsidP="009F5236">
      <w:pPr>
        <w:pStyle w:val="ListParagraph"/>
        <w:numPr>
          <w:ilvl w:val="0"/>
          <w:numId w:val="1"/>
        </w:numPr>
      </w:pPr>
      <w:r w:rsidRPr="009F5236">
        <w:t>Project applications in Tier 1 will be conditionally selected from the highest scoring CoC to the lowest scoring CoC, provided the project applications pass both project eligibility and project quality threshold review, and if applicable, project renewal threshold.</w:t>
      </w:r>
    </w:p>
    <w:p w14:paraId="0192C360" w14:textId="77777777" w:rsidR="009F5236" w:rsidRDefault="009F5236" w:rsidP="009F5236">
      <w:pPr>
        <w:pStyle w:val="ListParagraph"/>
        <w:numPr>
          <w:ilvl w:val="0"/>
          <w:numId w:val="1"/>
        </w:numPr>
      </w:pPr>
      <w:r w:rsidRPr="009F5236">
        <w:t>Any type of new or renewal project application can be placed in Tier 1, except YHDP renewal or YHDP replacement, CoC planning, and if applicable, UFA Costs projects as these projects are not ranked.</w:t>
      </w:r>
    </w:p>
    <w:p w14:paraId="765DD9B7" w14:textId="77777777" w:rsidR="009F5236" w:rsidRDefault="009F5236" w:rsidP="009F5236">
      <w:pPr>
        <w:pStyle w:val="ListParagraph"/>
        <w:numPr>
          <w:ilvl w:val="0"/>
          <w:numId w:val="2"/>
        </w:numPr>
      </w:pPr>
      <w:r w:rsidRPr="009F5236">
        <w:t>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w:t>
      </w:r>
      <w:r>
        <w:t>.</w:t>
      </w:r>
    </w:p>
    <w:p w14:paraId="09764941" w14:textId="77777777" w:rsidR="009F5236" w:rsidRDefault="009F5236" w:rsidP="009F5236">
      <w:pPr>
        <w:pStyle w:val="ListParagraph"/>
        <w:numPr>
          <w:ilvl w:val="0"/>
          <w:numId w:val="2"/>
        </w:numPr>
      </w:pPr>
      <w:r w:rsidRPr="009F5236">
        <w:t>In the event insufficient funding is available to award all Tier 1 projects, Tier 1 will be reduced proportionately, which could result in some Tier 1 projects falling into Tier 2. Therefore, CoCs should carefully determine the priority and ranking for all project applications in Tier 1 as well as Tier 2</w:t>
      </w:r>
      <w:r>
        <w:t>.</w:t>
      </w:r>
    </w:p>
    <w:p w14:paraId="19E506BA" w14:textId="77777777" w:rsidR="009F5236" w:rsidRPr="009F5236" w:rsidRDefault="009F5236" w:rsidP="009F5236">
      <w:pPr>
        <w:ind w:left="360"/>
        <w:rPr>
          <w:u w:val="single"/>
        </w:rPr>
      </w:pPr>
      <w:r w:rsidRPr="009F5236">
        <w:rPr>
          <w:u w:val="single"/>
        </w:rPr>
        <w:t>Tier 2</w:t>
      </w:r>
    </w:p>
    <w:p w14:paraId="023FC552" w14:textId="77777777" w:rsidR="009F5236" w:rsidRDefault="009F5236" w:rsidP="009F5236">
      <w:pPr>
        <w:pStyle w:val="ListParagraph"/>
        <w:numPr>
          <w:ilvl w:val="0"/>
          <w:numId w:val="3"/>
        </w:numPr>
      </w:pPr>
      <w:r w:rsidRPr="009F5236">
        <w:t>HUD will conditionally select new project applications created through reallocation and the CoC Bonus and renewal project applications, including renewals of previously funded DV Bonus projects that pass project eligibility, project quality, and if applicable, project renewal threshold review in Tier 2 using the crite</w:t>
      </w:r>
      <w:r>
        <w:t>ria in Section II.B.11.b of the</w:t>
      </w:r>
      <w:r w:rsidRPr="009F5236">
        <w:t xml:space="preserve"> NOFO. </w:t>
      </w:r>
    </w:p>
    <w:p w14:paraId="638193A8" w14:textId="77777777" w:rsidR="009F5236" w:rsidRDefault="009F5236" w:rsidP="009F5236">
      <w:pPr>
        <w:pStyle w:val="ListParagraph"/>
        <w:numPr>
          <w:ilvl w:val="0"/>
          <w:numId w:val="3"/>
        </w:numPr>
      </w:pPr>
      <w:r w:rsidRPr="009F5236">
        <w:lastRenderedPageBreak/>
        <w:t>HUD will select projects in order of point value until there are no more funds available. In the case of a tie, HUD will fund the projects in the order of CoC application score. In case there is still a tie, HUD will select the project from the CoC that has the highest score on the rating factors described in Section II.B.11.b of this NOFO.</w:t>
      </w:r>
    </w:p>
    <w:p w14:paraId="7D0A8F10" w14:textId="77777777" w:rsidR="00357AEC" w:rsidRDefault="00357AEC" w:rsidP="00357AEC">
      <w:pPr>
        <w:pStyle w:val="ListParagraph"/>
        <w:numPr>
          <w:ilvl w:val="0"/>
          <w:numId w:val="3"/>
        </w:numPr>
      </w:pPr>
      <w:r w:rsidRPr="00357AEC">
        <w:t>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w:t>
      </w:r>
    </w:p>
    <w:p w14:paraId="191F5366" w14:textId="77777777" w:rsidR="009F5236" w:rsidRPr="009F5236" w:rsidRDefault="009F5236" w:rsidP="00F50C65">
      <w:pPr>
        <w:ind w:left="360"/>
        <w:rPr>
          <w:u w:val="single"/>
        </w:rPr>
      </w:pPr>
      <w:r w:rsidRPr="009F5236">
        <w:rPr>
          <w:u w:val="single"/>
        </w:rPr>
        <w:t>Straddling Tier 1 and Tier 2</w:t>
      </w:r>
    </w:p>
    <w:p w14:paraId="61CF29D3" w14:textId="77777777" w:rsidR="009F5236" w:rsidRDefault="009F5236" w:rsidP="009F5236">
      <w:pPr>
        <w:pStyle w:val="ListParagraph"/>
        <w:numPr>
          <w:ilvl w:val="0"/>
          <w:numId w:val="3"/>
        </w:numPr>
      </w:pPr>
      <w:r w:rsidRPr="009F5236">
        <w:t>If a project application straddles the Tier 1 and Tier 2 funding line, HUD will conditionally select the project application up to the amount of funding that falls within Tier 1. Using the CoC score and other factors described in Section II.B.11 of this NOFO, HUD may then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p w14:paraId="63845F36" w14:textId="77777777" w:rsidR="00357AEC" w:rsidRDefault="00357AEC" w:rsidP="00357AEC">
      <w:pPr>
        <w:pStyle w:val="ListParagraph"/>
      </w:pPr>
    </w:p>
    <w:tbl>
      <w:tblPr>
        <w:tblStyle w:val="TableGrid"/>
        <w:tblW w:w="0" w:type="auto"/>
        <w:tblLook w:val="04A0" w:firstRow="1" w:lastRow="0" w:firstColumn="1" w:lastColumn="0" w:noHBand="0" w:noVBand="1"/>
      </w:tblPr>
      <w:tblGrid>
        <w:gridCol w:w="4765"/>
        <w:gridCol w:w="2340"/>
        <w:gridCol w:w="2245"/>
      </w:tblGrid>
      <w:tr w:rsidR="007462AF" w14:paraId="511D7E4A" w14:textId="77777777" w:rsidTr="00DC0ADF">
        <w:tc>
          <w:tcPr>
            <w:tcW w:w="9350" w:type="dxa"/>
            <w:gridSpan w:val="3"/>
          </w:tcPr>
          <w:p w14:paraId="68459978" w14:textId="77777777" w:rsidR="007462AF" w:rsidRPr="007462AF" w:rsidRDefault="007462AF" w:rsidP="009F5236">
            <w:pPr>
              <w:rPr>
                <w:b/>
              </w:rPr>
            </w:pPr>
            <w:r>
              <w:rPr>
                <w:b/>
              </w:rPr>
              <w:t>Tier 1 Funding</w:t>
            </w:r>
            <w:r w:rsidRPr="007462AF">
              <w:rPr>
                <w:b/>
              </w:rPr>
              <w:t xml:space="preserve"> – </w:t>
            </w:r>
            <w:r>
              <w:rPr>
                <w:b/>
              </w:rPr>
              <w:t>$</w:t>
            </w:r>
            <w:r w:rsidRPr="007462AF">
              <w:rPr>
                <w:b/>
              </w:rPr>
              <w:t>118,641</w:t>
            </w:r>
          </w:p>
        </w:tc>
      </w:tr>
      <w:tr w:rsidR="007462AF" w14:paraId="790F8CEA" w14:textId="77777777" w:rsidTr="007462AF">
        <w:tc>
          <w:tcPr>
            <w:tcW w:w="4765" w:type="dxa"/>
          </w:tcPr>
          <w:p w14:paraId="7382B3B9" w14:textId="77777777" w:rsidR="007462AF" w:rsidRPr="007462AF" w:rsidRDefault="007462AF" w:rsidP="009F5236">
            <w:pPr>
              <w:rPr>
                <w:b/>
              </w:rPr>
            </w:pPr>
            <w:r w:rsidRPr="007462AF">
              <w:rPr>
                <w:b/>
              </w:rPr>
              <w:t>Project</w:t>
            </w:r>
          </w:p>
        </w:tc>
        <w:tc>
          <w:tcPr>
            <w:tcW w:w="2340" w:type="dxa"/>
          </w:tcPr>
          <w:p w14:paraId="7835AE0C" w14:textId="77777777" w:rsidR="007462AF" w:rsidRPr="007462AF" w:rsidRDefault="007462AF" w:rsidP="009F5236">
            <w:pPr>
              <w:rPr>
                <w:b/>
              </w:rPr>
            </w:pPr>
            <w:r w:rsidRPr="007462AF">
              <w:rPr>
                <w:b/>
              </w:rPr>
              <w:t>Amount</w:t>
            </w:r>
          </w:p>
        </w:tc>
        <w:tc>
          <w:tcPr>
            <w:tcW w:w="2245" w:type="dxa"/>
          </w:tcPr>
          <w:p w14:paraId="3E630DA7" w14:textId="77777777" w:rsidR="007462AF" w:rsidRPr="007462AF" w:rsidRDefault="007462AF" w:rsidP="009F5236">
            <w:pPr>
              <w:rPr>
                <w:b/>
              </w:rPr>
            </w:pPr>
            <w:r w:rsidRPr="007462AF">
              <w:rPr>
                <w:b/>
              </w:rPr>
              <w:t>% of Funding Request</w:t>
            </w:r>
          </w:p>
        </w:tc>
      </w:tr>
      <w:tr w:rsidR="007462AF" w14:paraId="61136D9E" w14:textId="77777777" w:rsidTr="007462AF">
        <w:tc>
          <w:tcPr>
            <w:tcW w:w="4765" w:type="dxa"/>
          </w:tcPr>
          <w:p w14:paraId="649DF7A0" w14:textId="08D77C5C" w:rsidR="007462AF" w:rsidRDefault="00432E09" w:rsidP="009F5236">
            <w:r>
              <w:t>HMIS Renewal</w:t>
            </w:r>
          </w:p>
        </w:tc>
        <w:tc>
          <w:tcPr>
            <w:tcW w:w="2340" w:type="dxa"/>
          </w:tcPr>
          <w:p w14:paraId="1B319077" w14:textId="433E909C" w:rsidR="007462AF" w:rsidRDefault="00432E09" w:rsidP="009F5236">
            <w:r>
              <w:t>$85,362.00</w:t>
            </w:r>
          </w:p>
        </w:tc>
        <w:tc>
          <w:tcPr>
            <w:tcW w:w="2245" w:type="dxa"/>
          </w:tcPr>
          <w:p w14:paraId="577FE8D1" w14:textId="313FD11A" w:rsidR="007462AF" w:rsidRDefault="00432E09" w:rsidP="009F5236">
            <w:r>
              <w:t>100%</w:t>
            </w:r>
          </w:p>
        </w:tc>
      </w:tr>
      <w:tr w:rsidR="007462AF" w14:paraId="4FC4B175" w14:textId="77777777" w:rsidTr="007462AF">
        <w:tc>
          <w:tcPr>
            <w:tcW w:w="4765" w:type="dxa"/>
          </w:tcPr>
          <w:p w14:paraId="4161427B" w14:textId="180FAA84" w:rsidR="007462AF" w:rsidRDefault="00432E09" w:rsidP="009F5236">
            <w:r>
              <w:t>Housing Navigator Renewal</w:t>
            </w:r>
          </w:p>
        </w:tc>
        <w:tc>
          <w:tcPr>
            <w:tcW w:w="2340" w:type="dxa"/>
          </w:tcPr>
          <w:p w14:paraId="4B403ABB" w14:textId="71150EE4" w:rsidR="007462AF" w:rsidRDefault="00432E09" w:rsidP="009F5236">
            <w:r>
              <w:t>$33279.00</w:t>
            </w:r>
          </w:p>
        </w:tc>
        <w:tc>
          <w:tcPr>
            <w:tcW w:w="2245" w:type="dxa"/>
          </w:tcPr>
          <w:p w14:paraId="7A19EDCC" w14:textId="668774D9" w:rsidR="007462AF" w:rsidRDefault="00432E09" w:rsidP="009F5236">
            <w:r>
              <w:t>100%</w:t>
            </w:r>
          </w:p>
        </w:tc>
      </w:tr>
      <w:tr w:rsidR="007462AF" w14:paraId="15A2A779" w14:textId="77777777" w:rsidTr="007462AF">
        <w:tc>
          <w:tcPr>
            <w:tcW w:w="4765" w:type="dxa"/>
          </w:tcPr>
          <w:p w14:paraId="47D8A334" w14:textId="77777777" w:rsidR="007462AF" w:rsidRDefault="007462AF" w:rsidP="009F5236"/>
        </w:tc>
        <w:tc>
          <w:tcPr>
            <w:tcW w:w="2340" w:type="dxa"/>
          </w:tcPr>
          <w:p w14:paraId="5CF9E997" w14:textId="77777777" w:rsidR="007462AF" w:rsidRDefault="007462AF" w:rsidP="009F5236"/>
        </w:tc>
        <w:tc>
          <w:tcPr>
            <w:tcW w:w="2245" w:type="dxa"/>
          </w:tcPr>
          <w:p w14:paraId="7A832EAD" w14:textId="77777777" w:rsidR="007462AF" w:rsidRDefault="007462AF" w:rsidP="009F5236"/>
        </w:tc>
      </w:tr>
      <w:tr w:rsidR="007462AF" w14:paraId="677FEA7C" w14:textId="77777777" w:rsidTr="007462AF">
        <w:tc>
          <w:tcPr>
            <w:tcW w:w="4765" w:type="dxa"/>
          </w:tcPr>
          <w:p w14:paraId="1BFF93EB" w14:textId="77777777" w:rsidR="007462AF" w:rsidRDefault="007462AF" w:rsidP="009F5236"/>
        </w:tc>
        <w:tc>
          <w:tcPr>
            <w:tcW w:w="2340" w:type="dxa"/>
          </w:tcPr>
          <w:p w14:paraId="36DA525F" w14:textId="77777777" w:rsidR="007462AF" w:rsidRDefault="007462AF" w:rsidP="009F5236"/>
        </w:tc>
        <w:tc>
          <w:tcPr>
            <w:tcW w:w="2245" w:type="dxa"/>
          </w:tcPr>
          <w:p w14:paraId="7096E299" w14:textId="77777777" w:rsidR="007462AF" w:rsidRDefault="007462AF" w:rsidP="009F5236"/>
        </w:tc>
      </w:tr>
      <w:tr w:rsidR="007462AF" w14:paraId="2EDEEB3F" w14:textId="77777777" w:rsidTr="007462AF">
        <w:tc>
          <w:tcPr>
            <w:tcW w:w="4765" w:type="dxa"/>
          </w:tcPr>
          <w:p w14:paraId="31538E42" w14:textId="77777777" w:rsidR="007462AF" w:rsidRPr="007462AF" w:rsidRDefault="007462AF" w:rsidP="007462AF">
            <w:pPr>
              <w:jc w:val="right"/>
              <w:rPr>
                <w:b/>
              </w:rPr>
            </w:pPr>
            <w:r w:rsidRPr="007462AF">
              <w:rPr>
                <w:b/>
              </w:rPr>
              <w:t>Total Tier 1 Request</w:t>
            </w:r>
          </w:p>
        </w:tc>
        <w:tc>
          <w:tcPr>
            <w:tcW w:w="4585" w:type="dxa"/>
            <w:gridSpan w:val="2"/>
          </w:tcPr>
          <w:p w14:paraId="6D855370" w14:textId="051188C4" w:rsidR="007462AF" w:rsidRDefault="00432E09" w:rsidP="009F5236">
            <w:r>
              <w:t>$118,641.00</w:t>
            </w:r>
          </w:p>
        </w:tc>
      </w:tr>
    </w:tbl>
    <w:p w14:paraId="38F39798" w14:textId="77777777" w:rsidR="00455FFC" w:rsidRDefault="00455FFC" w:rsidP="009F5236"/>
    <w:tbl>
      <w:tblPr>
        <w:tblStyle w:val="TableGrid"/>
        <w:tblW w:w="0" w:type="auto"/>
        <w:tblLook w:val="04A0" w:firstRow="1" w:lastRow="0" w:firstColumn="1" w:lastColumn="0" w:noHBand="0" w:noVBand="1"/>
      </w:tblPr>
      <w:tblGrid>
        <w:gridCol w:w="4765"/>
        <w:gridCol w:w="2340"/>
        <w:gridCol w:w="2245"/>
      </w:tblGrid>
      <w:tr w:rsidR="007462AF" w14:paraId="76A9085F" w14:textId="77777777" w:rsidTr="007C4317">
        <w:tc>
          <w:tcPr>
            <w:tcW w:w="9350" w:type="dxa"/>
            <w:gridSpan w:val="3"/>
          </w:tcPr>
          <w:p w14:paraId="740B7589" w14:textId="77777777" w:rsidR="007462AF" w:rsidRPr="007462AF" w:rsidRDefault="007462AF" w:rsidP="007C4317">
            <w:pPr>
              <w:rPr>
                <w:b/>
              </w:rPr>
            </w:pPr>
            <w:r>
              <w:rPr>
                <w:b/>
              </w:rPr>
              <w:t xml:space="preserve">Tier 2 Funding </w:t>
            </w:r>
            <w:r w:rsidRPr="007462AF">
              <w:rPr>
                <w:b/>
              </w:rPr>
              <w:t xml:space="preserve"> –</w:t>
            </w:r>
            <w:r>
              <w:rPr>
                <w:b/>
              </w:rPr>
              <w:t xml:space="preserve"> $65,773</w:t>
            </w:r>
          </w:p>
        </w:tc>
      </w:tr>
      <w:tr w:rsidR="007462AF" w14:paraId="331CD020" w14:textId="77777777" w:rsidTr="007C4317">
        <w:tc>
          <w:tcPr>
            <w:tcW w:w="4765" w:type="dxa"/>
          </w:tcPr>
          <w:p w14:paraId="4DB30B3D" w14:textId="77777777" w:rsidR="007462AF" w:rsidRPr="007462AF" w:rsidRDefault="007462AF" w:rsidP="007C4317">
            <w:pPr>
              <w:rPr>
                <w:b/>
              </w:rPr>
            </w:pPr>
            <w:r w:rsidRPr="007462AF">
              <w:rPr>
                <w:b/>
              </w:rPr>
              <w:t>Project</w:t>
            </w:r>
          </w:p>
        </w:tc>
        <w:tc>
          <w:tcPr>
            <w:tcW w:w="2340" w:type="dxa"/>
          </w:tcPr>
          <w:p w14:paraId="68C2FE32" w14:textId="77777777" w:rsidR="007462AF" w:rsidRPr="007462AF" w:rsidRDefault="007462AF" w:rsidP="007C4317">
            <w:pPr>
              <w:rPr>
                <w:b/>
              </w:rPr>
            </w:pPr>
            <w:r w:rsidRPr="007462AF">
              <w:rPr>
                <w:b/>
              </w:rPr>
              <w:t>Amount</w:t>
            </w:r>
          </w:p>
        </w:tc>
        <w:tc>
          <w:tcPr>
            <w:tcW w:w="2245" w:type="dxa"/>
          </w:tcPr>
          <w:p w14:paraId="1B9EB89B" w14:textId="77777777" w:rsidR="007462AF" w:rsidRPr="007462AF" w:rsidRDefault="007462AF" w:rsidP="007C4317">
            <w:pPr>
              <w:rPr>
                <w:b/>
              </w:rPr>
            </w:pPr>
            <w:r w:rsidRPr="007462AF">
              <w:rPr>
                <w:b/>
              </w:rPr>
              <w:t>% of Funding Request</w:t>
            </w:r>
          </w:p>
        </w:tc>
      </w:tr>
      <w:tr w:rsidR="007462AF" w14:paraId="76BC9F96" w14:textId="77777777" w:rsidTr="007C4317">
        <w:tc>
          <w:tcPr>
            <w:tcW w:w="4765" w:type="dxa"/>
          </w:tcPr>
          <w:p w14:paraId="73692FD7" w14:textId="2CE9B988" w:rsidR="007462AF" w:rsidRDefault="00432E09" w:rsidP="007C4317">
            <w:r>
              <w:t>DV Bonus – CE</w:t>
            </w:r>
          </w:p>
        </w:tc>
        <w:tc>
          <w:tcPr>
            <w:tcW w:w="2340" w:type="dxa"/>
          </w:tcPr>
          <w:p w14:paraId="255D519B" w14:textId="39C448A9" w:rsidR="007462AF" w:rsidRDefault="00432E09" w:rsidP="007C4317">
            <w:r>
              <w:t>$50,000.00</w:t>
            </w:r>
          </w:p>
        </w:tc>
        <w:tc>
          <w:tcPr>
            <w:tcW w:w="2245" w:type="dxa"/>
          </w:tcPr>
          <w:p w14:paraId="08105C96" w14:textId="74BD7F3A" w:rsidR="007462AF" w:rsidRDefault="00432E09" w:rsidP="007C4317">
            <w:r>
              <w:t>100%</w:t>
            </w:r>
          </w:p>
        </w:tc>
      </w:tr>
      <w:tr w:rsidR="007462AF" w14:paraId="4CA64CBB" w14:textId="77777777" w:rsidTr="007C4317">
        <w:tc>
          <w:tcPr>
            <w:tcW w:w="4765" w:type="dxa"/>
          </w:tcPr>
          <w:p w14:paraId="3D432711" w14:textId="3F2F5463" w:rsidR="007462AF" w:rsidRDefault="00432E09" w:rsidP="007C4317">
            <w:r>
              <w:t>COC Bonus – CE (SSO/CE)</w:t>
            </w:r>
          </w:p>
        </w:tc>
        <w:tc>
          <w:tcPr>
            <w:tcW w:w="2340" w:type="dxa"/>
          </w:tcPr>
          <w:p w14:paraId="543E8E77" w14:textId="0427F4BA" w:rsidR="007462AF" w:rsidRDefault="00432E09" w:rsidP="007C4317">
            <w:r>
              <w:t>$15,773.00</w:t>
            </w:r>
          </w:p>
        </w:tc>
        <w:tc>
          <w:tcPr>
            <w:tcW w:w="2245" w:type="dxa"/>
          </w:tcPr>
          <w:p w14:paraId="7EEC5C85" w14:textId="3A951E94" w:rsidR="007462AF" w:rsidRDefault="00432E09" w:rsidP="007C4317">
            <w:r>
              <w:t>100%</w:t>
            </w:r>
          </w:p>
        </w:tc>
      </w:tr>
      <w:tr w:rsidR="007462AF" w14:paraId="6D613C96" w14:textId="77777777" w:rsidTr="007C4317">
        <w:tc>
          <w:tcPr>
            <w:tcW w:w="4765" w:type="dxa"/>
          </w:tcPr>
          <w:p w14:paraId="22DA89DC" w14:textId="77777777" w:rsidR="007462AF" w:rsidRDefault="007462AF" w:rsidP="007C4317"/>
        </w:tc>
        <w:tc>
          <w:tcPr>
            <w:tcW w:w="2340" w:type="dxa"/>
          </w:tcPr>
          <w:p w14:paraId="34E7944A" w14:textId="77777777" w:rsidR="007462AF" w:rsidRDefault="007462AF" w:rsidP="007C4317"/>
        </w:tc>
        <w:tc>
          <w:tcPr>
            <w:tcW w:w="2245" w:type="dxa"/>
          </w:tcPr>
          <w:p w14:paraId="3330ACC8" w14:textId="77777777" w:rsidR="007462AF" w:rsidRDefault="007462AF" w:rsidP="007C4317"/>
        </w:tc>
      </w:tr>
      <w:tr w:rsidR="007462AF" w14:paraId="48D7D615" w14:textId="77777777" w:rsidTr="007C4317">
        <w:tc>
          <w:tcPr>
            <w:tcW w:w="4765" w:type="dxa"/>
          </w:tcPr>
          <w:p w14:paraId="465E2EB8" w14:textId="77777777" w:rsidR="007462AF" w:rsidRDefault="007462AF" w:rsidP="007C4317"/>
        </w:tc>
        <w:tc>
          <w:tcPr>
            <w:tcW w:w="2340" w:type="dxa"/>
          </w:tcPr>
          <w:p w14:paraId="263315CC" w14:textId="77777777" w:rsidR="007462AF" w:rsidRDefault="007462AF" w:rsidP="007C4317"/>
        </w:tc>
        <w:tc>
          <w:tcPr>
            <w:tcW w:w="2245" w:type="dxa"/>
          </w:tcPr>
          <w:p w14:paraId="10D7FB7E" w14:textId="77777777" w:rsidR="007462AF" w:rsidRDefault="007462AF" w:rsidP="007C4317"/>
        </w:tc>
      </w:tr>
      <w:tr w:rsidR="007462AF" w14:paraId="2568A11C" w14:textId="77777777" w:rsidTr="007C4317">
        <w:tc>
          <w:tcPr>
            <w:tcW w:w="4765" w:type="dxa"/>
          </w:tcPr>
          <w:p w14:paraId="1B3CBE25" w14:textId="77777777" w:rsidR="007462AF" w:rsidRPr="007462AF" w:rsidRDefault="007462AF" w:rsidP="007462AF">
            <w:pPr>
              <w:jc w:val="right"/>
              <w:rPr>
                <w:b/>
              </w:rPr>
            </w:pPr>
            <w:r w:rsidRPr="007462AF">
              <w:rPr>
                <w:b/>
              </w:rPr>
              <w:t xml:space="preserve">Total Tier </w:t>
            </w:r>
            <w:r>
              <w:rPr>
                <w:b/>
              </w:rPr>
              <w:t>2</w:t>
            </w:r>
            <w:r w:rsidRPr="007462AF">
              <w:rPr>
                <w:b/>
              </w:rPr>
              <w:t xml:space="preserve"> Request</w:t>
            </w:r>
          </w:p>
        </w:tc>
        <w:tc>
          <w:tcPr>
            <w:tcW w:w="4585" w:type="dxa"/>
            <w:gridSpan w:val="2"/>
          </w:tcPr>
          <w:p w14:paraId="0457551B" w14:textId="378BAB6C" w:rsidR="007462AF" w:rsidRDefault="00432E09" w:rsidP="007C4317">
            <w:r>
              <w:t>$65,773.00</w:t>
            </w:r>
          </w:p>
        </w:tc>
      </w:tr>
    </w:tbl>
    <w:p w14:paraId="39F980C5" w14:textId="77777777" w:rsidR="007462AF" w:rsidRDefault="007462AF" w:rsidP="009F5236"/>
    <w:p w14:paraId="33CDD7FD" w14:textId="66E69C59" w:rsidR="007462AF" w:rsidRDefault="007462AF" w:rsidP="009F5236">
      <w:pPr>
        <w:rPr>
          <w:b/>
        </w:rPr>
      </w:pPr>
      <w:r w:rsidRPr="007462AF">
        <w:rPr>
          <w:b/>
        </w:rPr>
        <w:t>Total Funding Request:</w:t>
      </w:r>
      <w:r w:rsidR="00432E09">
        <w:rPr>
          <w:b/>
        </w:rPr>
        <w:t xml:space="preserve">  $184,414.00</w:t>
      </w:r>
    </w:p>
    <w:p w14:paraId="3808DF05" w14:textId="48275062" w:rsidR="00245FA7" w:rsidRDefault="00245FA7" w:rsidP="009F5236">
      <w:pPr>
        <w:rPr>
          <w:b/>
        </w:rPr>
      </w:pPr>
      <w:r>
        <w:rPr>
          <w:b/>
        </w:rPr>
        <w:t>Flagler Hospital HMIS and Housing Navigator Renewals would be funded under Tier 1 for a total of $118,641.00 which is the dollar amount of the Annual Renewal Demand (ARD). The projects were prioritized for funding based on our CoC’s local needs, gaps and priorities.</w:t>
      </w:r>
    </w:p>
    <w:p w14:paraId="27439EB0" w14:textId="4CEA3CCE" w:rsidR="00052FE9" w:rsidRDefault="00052FE9" w:rsidP="009F5236">
      <w:pPr>
        <w:rPr>
          <w:b/>
        </w:rPr>
      </w:pPr>
      <w:r>
        <w:rPr>
          <w:b/>
        </w:rPr>
        <w:t>CoC Planning funds are allocated to the CoC Lead Agency at the available $9,464.00.</w:t>
      </w:r>
    </w:p>
    <w:p w14:paraId="512B9C0D" w14:textId="110E8A2C" w:rsidR="00052FE9" w:rsidRDefault="00052FE9" w:rsidP="009F5236">
      <w:pPr>
        <w:rPr>
          <w:b/>
        </w:rPr>
      </w:pPr>
    </w:p>
    <w:p w14:paraId="75D77F97" w14:textId="62336DEE" w:rsidR="00052FE9" w:rsidRDefault="00052FE9" w:rsidP="009F5236">
      <w:pPr>
        <w:rPr>
          <w:b/>
        </w:rPr>
      </w:pPr>
      <w:r>
        <w:rPr>
          <w:b/>
        </w:rPr>
        <w:t>These are the recommendations of the Scoring and Review Committee for the Boards decision.</w:t>
      </w:r>
    </w:p>
    <w:p w14:paraId="6A0D34E6" w14:textId="17B35BE9" w:rsidR="00052FE9" w:rsidRDefault="00052FE9" w:rsidP="009F5236">
      <w:pPr>
        <w:rPr>
          <w:b/>
        </w:rPr>
      </w:pPr>
    </w:p>
    <w:p w14:paraId="56D9B2E4" w14:textId="12611F03" w:rsidR="00052FE9" w:rsidRPr="007462AF" w:rsidRDefault="00052FE9" w:rsidP="009F5236">
      <w:pPr>
        <w:rPr>
          <w:b/>
        </w:rPr>
      </w:pPr>
      <w:r>
        <w:rPr>
          <w:b/>
        </w:rPr>
        <w:t>Submitted by: Ellen S Walden on 10/26/21.</w:t>
      </w:r>
    </w:p>
    <w:sectPr w:rsidR="00052FE9" w:rsidRPr="007462AF" w:rsidSect="00052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2F1D"/>
    <w:multiLevelType w:val="hybridMultilevel"/>
    <w:tmpl w:val="3456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3974"/>
    <w:multiLevelType w:val="hybridMultilevel"/>
    <w:tmpl w:val="983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1BA2"/>
    <w:multiLevelType w:val="hybridMultilevel"/>
    <w:tmpl w:val="94D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6"/>
    <w:rsid w:val="00036D3B"/>
    <w:rsid w:val="00052FE9"/>
    <w:rsid w:val="000F1A01"/>
    <w:rsid w:val="001605CA"/>
    <w:rsid w:val="00164855"/>
    <w:rsid w:val="00245FA7"/>
    <w:rsid w:val="00357AEC"/>
    <w:rsid w:val="00432E09"/>
    <w:rsid w:val="00455FFC"/>
    <w:rsid w:val="0058269E"/>
    <w:rsid w:val="007462AF"/>
    <w:rsid w:val="009F2A4C"/>
    <w:rsid w:val="009F5236"/>
    <w:rsid w:val="00C00803"/>
    <w:rsid w:val="00F43725"/>
    <w:rsid w:val="00F50C65"/>
    <w:rsid w:val="00FE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A5C"/>
  <w15:chartTrackingRefBased/>
  <w15:docId w15:val="{17D3BD4B-0D5C-48BE-B3BE-B00B305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236"/>
    <w:pPr>
      <w:ind w:left="720"/>
      <w:contextualSpacing/>
    </w:pPr>
  </w:style>
  <w:style w:type="table" w:customStyle="1" w:styleId="TableGrid1">
    <w:name w:val="Table Grid1"/>
    <w:basedOn w:val="TableNormal"/>
    <w:next w:val="TableGrid"/>
    <w:uiPriority w:val="59"/>
    <w:rsid w:val="00F5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Rodea</dc:creator>
  <cp:keywords/>
  <dc:description/>
  <cp:lastModifiedBy>Lindsey Rodea</cp:lastModifiedBy>
  <cp:revision>2</cp:revision>
  <cp:lastPrinted>2021-10-27T12:51:00Z</cp:lastPrinted>
  <dcterms:created xsi:type="dcterms:W3CDTF">2021-10-27T14:22:00Z</dcterms:created>
  <dcterms:modified xsi:type="dcterms:W3CDTF">2021-10-27T14:22:00Z</dcterms:modified>
</cp:coreProperties>
</file>